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>Якшимбетовский</w:t>
        <w:tab/>
        <w:t xml:space="preserve"> сельсовет муниципального района </w:t>
      </w:r>
      <w:r>
        <w:rPr>
          <w:b w:val="false"/>
          <w:sz w:val="28"/>
          <w:szCs w:val="28"/>
        </w:rPr>
        <w:t>Куюргазинский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18 октября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Якшимбетовский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>муниципального района Куюргазинский район Республики Башкортостан. В ходе проверки выявлены нарушения, выразившиеся в повреждение полезащитного лесного насаждения на земельном участке сельскохозяйственного назначения с кадастровым номером 02:35:000000:221 путем спиливания  деревьев  на площади  0,0015 га.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10.10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17.07.2018  года.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949700" cy="2962275"/>
            <wp:effectExtent l="0" t="0" r="0" b="0"/>
            <wp:docPr id="1" name="Рисунок 1" descr="C:\Users\z02\Desktop\картинки\1323410060_dac3789de51394eaef53ea08f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1323410060_dac3789de51394eaef53ea08f95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 w:before="0" w:after="200"/>
        <w:ind w:hanging="709"/>
        <w:jc w:val="center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LibreOffice/5.2.2.2$Linux_X86_64 LibreOffice_project/20m0$Build-2</Application>
  <Pages>1</Pages>
  <Words>115</Words>
  <Characters>917</Characters>
  <CharactersWithSpaces>1038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2017-10-23T05:20:00Z</dcterms:created>
  <dc:creator>z02</dc:creator>
  <dc:description/>
  <dc:language>ru-RU</dc:language>
  <cp:lastModifiedBy/>
  <cp:lastPrinted>2017-09-28T11:28:00Z</cp:lastPrinted>
  <dcterms:modified xsi:type="dcterms:W3CDTF">2017-10-25T14:36:33Z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